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2A396" w14:textId="09849E60" w:rsidR="00CA2A42" w:rsidRDefault="00C92C76" w:rsidP="00CA2A42">
      <w:pPr>
        <w:pStyle w:val="Overskrift1"/>
      </w:pPr>
      <w:bookmarkStart w:id="0" w:name="_GoBack"/>
      <w:bookmarkEnd w:id="0"/>
      <w:r>
        <w:t xml:space="preserve">Vedlegg </w:t>
      </w:r>
      <w:r w:rsidR="00E67961">
        <w:t>3</w:t>
      </w:r>
      <w:r>
        <w:t xml:space="preserve"> </w:t>
      </w:r>
      <w:r w:rsidR="00CA2A42">
        <w:t>Detaljert beskrivelse av beregninger</w:t>
      </w:r>
    </w:p>
    <w:p w14:paraId="1A5A8E7B" w14:textId="77777777" w:rsidR="00CA2A42" w:rsidRPr="00296E90" w:rsidRDefault="00CA2A42" w:rsidP="00CA2A42">
      <w:pPr>
        <w:pStyle w:val="Overskrift2"/>
      </w:pPr>
      <w:r w:rsidRPr="00296E90">
        <w:t xml:space="preserve">Estimert andel sykehusopphold med minst én pasientskade </w:t>
      </w:r>
    </w:p>
    <w:p w14:paraId="1F18C81F" w14:textId="77777777" w:rsidR="00CA2A42" w:rsidRPr="00296E90" w:rsidRDefault="00CA2A42" w:rsidP="00CA2A42">
      <w:r w:rsidRPr="00296E90">
        <w:t xml:space="preserve">Estimat presenteres for andel sykehusopphold med minst én pasientskade per år, per GTT-team, sammen med 95 % konfidensintervall, som belyser estimatets usikkerhet. </w:t>
      </w:r>
    </w:p>
    <w:p w14:paraId="14C21306" w14:textId="77777777" w:rsidR="00CA2A42" w:rsidRPr="00296E90" w:rsidRDefault="00CA2A42" w:rsidP="00CA2A42"/>
    <w:p w14:paraId="746084C6" w14:textId="77777777" w:rsidR="00CA2A42" w:rsidRPr="00296E90" w:rsidRDefault="00CA2A42" w:rsidP="00CA2A42">
      <w:r w:rsidRPr="00296E90">
        <w:t xml:space="preserve">Andel sykehusopphold med minst én pasientskade er beregnet som følger: </w:t>
      </w:r>
    </w:p>
    <w:p w14:paraId="35D29797" w14:textId="77777777" w:rsidR="00CA2A42" w:rsidRPr="00296E90" w:rsidRDefault="00CA2A42" w:rsidP="00CA2A42">
      <w:pPr>
        <w:pStyle w:val="Default"/>
        <w:rPr>
          <w:rFonts w:ascii="Arial" w:hAnsi="Arial" w:cs="Arial"/>
          <w:sz w:val="22"/>
          <w:szCs w:val="22"/>
        </w:rPr>
      </w:pPr>
    </w:p>
    <w:p w14:paraId="6B0E58D7" w14:textId="77777777" w:rsidR="00CA2A42" w:rsidRPr="00296E90" w:rsidRDefault="00CB3F90" w:rsidP="00CA2A42">
      <w:pPr>
        <w:pStyle w:val="Default"/>
        <w:rPr>
          <w:rFonts w:ascii="Arial" w:hAnsi="Arial" w:cs="Arial"/>
          <w:sz w:val="22"/>
          <w:szCs w:val="22"/>
        </w:rPr>
      </w:pPr>
      <m:oMath>
        <m:d>
          <m:dPr>
            <m:ctrlPr>
              <w:rPr>
                <w:rFonts w:ascii="Cambria Math" w:hAnsi="Cambria Math" w:cs="Cambria Math"/>
                <w:i/>
                <w:sz w:val="28"/>
                <w:szCs w:val="28"/>
              </w:rPr>
            </m:ctrlPr>
          </m:dPr>
          <m:e>
            <m:f>
              <m:fPr>
                <m:ctrlPr>
                  <w:rPr>
                    <w:rFonts w:ascii="Cambria Math" w:hAnsi="Cambria Math" w:cs="Cambria Math"/>
                    <w:i/>
                    <w:sz w:val="28"/>
                    <w:szCs w:val="28"/>
                  </w:rPr>
                </m:ctrlPr>
              </m:fPr>
              <m:num>
                <m:r>
                  <w:rPr>
                    <w:rFonts w:ascii="Cambria Math" w:hAnsi="Cambria Math" w:cs="Cambria Math"/>
                    <w:sz w:val="28"/>
                    <w:szCs w:val="28"/>
                  </w:rPr>
                  <m:t>Totalt</m:t>
                </m:r>
                <m:r>
                  <w:rPr>
                    <w:rFonts w:ascii="Cambria Math" w:hAnsi="Cambria Math" w:cs="Arial"/>
                    <w:sz w:val="28"/>
                    <w:szCs w:val="28"/>
                  </w:rPr>
                  <m:t xml:space="preserve"> </m:t>
                </m:r>
                <m:r>
                  <w:rPr>
                    <w:rFonts w:ascii="Cambria Math" w:hAnsi="Cambria Math" w:cs="Cambria Math"/>
                    <w:sz w:val="28"/>
                    <w:szCs w:val="28"/>
                  </w:rPr>
                  <m:t>antall</m:t>
                </m:r>
                <m:r>
                  <w:rPr>
                    <w:rFonts w:ascii="Cambria Math" w:hAnsi="Cambria Math" w:cs="Arial"/>
                    <w:sz w:val="28"/>
                    <w:szCs w:val="28"/>
                  </w:rPr>
                  <m:t xml:space="preserve"> </m:t>
                </m:r>
                <m:r>
                  <w:rPr>
                    <w:rFonts w:ascii="Cambria Math" w:hAnsi="Cambria Math" w:cs="Cambria Math"/>
                    <w:sz w:val="28"/>
                    <w:szCs w:val="28"/>
                  </w:rPr>
                  <m:t>sykehusopphold</m:t>
                </m:r>
                <m:r>
                  <w:rPr>
                    <w:rFonts w:ascii="Cambria Math" w:hAnsi="Cambria Math" w:cs="Arial"/>
                    <w:sz w:val="28"/>
                    <w:szCs w:val="28"/>
                  </w:rPr>
                  <m:t xml:space="preserve"> </m:t>
                </m:r>
                <m:r>
                  <w:rPr>
                    <w:rFonts w:ascii="Cambria Math" w:hAnsi="Cambria Math" w:cs="Cambria Math"/>
                    <w:sz w:val="28"/>
                    <w:szCs w:val="28"/>
                  </w:rPr>
                  <m:t>med</m:t>
                </m:r>
                <m:r>
                  <w:rPr>
                    <w:rFonts w:ascii="Cambria Math" w:hAnsi="Cambria Math" w:cs="Arial"/>
                    <w:sz w:val="28"/>
                    <w:szCs w:val="28"/>
                  </w:rPr>
                  <m:t xml:space="preserve"> </m:t>
                </m:r>
                <m:r>
                  <w:rPr>
                    <w:rFonts w:ascii="Cambria Math" w:hAnsi="Cambria Math" w:cs="Cambria Math"/>
                    <w:sz w:val="28"/>
                    <w:szCs w:val="28"/>
                  </w:rPr>
                  <m:t>minst</m:t>
                </m:r>
                <m:r>
                  <w:rPr>
                    <w:rFonts w:ascii="Cambria Math" w:hAnsi="Cambria Math" w:cs="Arial"/>
                    <w:sz w:val="28"/>
                    <w:szCs w:val="28"/>
                  </w:rPr>
                  <m:t xml:space="preserve"> é</m:t>
                </m:r>
                <m:r>
                  <w:rPr>
                    <w:rFonts w:ascii="Cambria Math" w:hAnsi="Cambria Math" w:cs="Cambria Math"/>
                    <w:sz w:val="28"/>
                    <w:szCs w:val="28"/>
                  </w:rPr>
                  <m:t>n</m:t>
                </m:r>
                <m:r>
                  <w:rPr>
                    <w:rFonts w:ascii="Cambria Math" w:hAnsi="Cambria Math" w:cs="Arial"/>
                    <w:sz w:val="28"/>
                    <w:szCs w:val="28"/>
                  </w:rPr>
                  <m:t xml:space="preserve"> </m:t>
                </m:r>
                <m:r>
                  <w:rPr>
                    <w:rFonts w:ascii="Cambria Math" w:hAnsi="Cambria Math" w:cs="Cambria Math"/>
                    <w:sz w:val="28"/>
                    <w:szCs w:val="28"/>
                  </w:rPr>
                  <m:t>skade</m:t>
                </m:r>
              </m:num>
              <m:den>
                <m:r>
                  <w:rPr>
                    <w:rFonts w:ascii="Cambria Math" w:hAnsi="Cambria Math" w:cs="Cambria Math"/>
                    <w:sz w:val="28"/>
                    <w:szCs w:val="28"/>
                  </w:rPr>
                  <m:t>Totalt</m:t>
                </m:r>
                <m:r>
                  <w:rPr>
                    <w:rFonts w:ascii="Cambria Math" w:hAnsi="Cambria Math" w:cs="Arial"/>
                    <w:sz w:val="28"/>
                    <w:szCs w:val="28"/>
                  </w:rPr>
                  <m:t xml:space="preserve"> </m:t>
                </m:r>
                <m:r>
                  <w:rPr>
                    <w:rFonts w:ascii="Cambria Math" w:hAnsi="Cambria Math" w:cs="Cambria Math"/>
                    <w:sz w:val="28"/>
                    <w:szCs w:val="28"/>
                  </w:rPr>
                  <m:t>antall</m:t>
                </m:r>
                <m:r>
                  <w:rPr>
                    <w:rFonts w:ascii="Cambria Math" w:hAnsi="Cambria Math" w:cs="Arial"/>
                    <w:sz w:val="28"/>
                    <w:szCs w:val="28"/>
                  </w:rPr>
                  <m:t xml:space="preserve"> </m:t>
                </m:r>
                <m:r>
                  <w:rPr>
                    <w:rFonts w:ascii="Cambria Math" w:hAnsi="Cambria Math" w:cs="Cambria Math"/>
                    <w:sz w:val="28"/>
                    <w:szCs w:val="28"/>
                  </w:rPr>
                  <m:t>unders</m:t>
                </m:r>
                <m:r>
                  <w:rPr>
                    <w:rFonts w:ascii="Cambria Math" w:hAnsi="Cambria Math" w:cs="Arial"/>
                    <w:sz w:val="28"/>
                    <w:szCs w:val="28"/>
                  </w:rPr>
                  <m:t>ø</m:t>
                </m:r>
                <m:r>
                  <w:rPr>
                    <w:rFonts w:ascii="Cambria Math" w:hAnsi="Cambria Math" w:cs="Cambria Math"/>
                    <w:sz w:val="28"/>
                    <w:szCs w:val="28"/>
                  </w:rPr>
                  <m:t>kte</m:t>
                </m:r>
                <m:r>
                  <w:rPr>
                    <w:rFonts w:ascii="Cambria Math" w:hAnsi="Cambria Math" w:cs="Arial"/>
                    <w:sz w:val="28"/>
                    <w:szCs w:val="28"/>
                  </w:rPr>
                  <m:t xml:space="preserve"> </m:t>
                </m:r>
                <m:r>
                  <w:rPr>
                    <w:rFonts w:ascii="Cambria Math" w:hAnsi="Cambria Math" w:cs="Cambria Math"/>
                    <w:sz w:val="28"/>
                    <w:szCs w:val="28"/>
                  </w:rPr>
                  <m:t>sykehusopphold</m:t>
                </m:r>
              </m:den>
            </m:f>
          </m:e>
        </m:d>
      </m:oMath>
      <w:r w:rsidR="00CA2A42" w:rsidRPr="00296E90">
        <w:rPr>
          <w:rFonts w:ascii="Cambria Math" w:hAnsi="Cambria Math" w:cs="Cambria Math"/>
          <w:sz w:val="22"/>
          <w:szCs w:val="22"/>
        </w:rPr>
        <w:t>∗</w:t>
      </w:r>
      <w:r w:rsidR="00CA2A42" w:rsidRPr="00296E90">
        <w:rPr>
          <w:rFonts w:ascii="Arial" w:hAnsi="Arial" w:cs="Arial"/>
          <w:sz w:val="22"/>
          <w:szCs w:val="22"/>
        </w:rPr>
        <w:t xml:space="preserve">100 </w:t>
      </w:r>
    </w:p>
    <w:p w14:paraId="207319E8" w14:textId="77777777" w:rsidR="00CA2A42" w:rsidRPr="00296E90" w:rsidRDefault="00CA2A42" w:rsidP="00CA2A42">
      <w:pPr>
        <w:pStyle w:val="Default"/>
        <w:rPr>
          <w:rFonts w:ascii="Arial" w:hAnsi="Arial" w:cs="Arial"/>
          <w:sz w:val="22"/>
          <w:szCs w:val="22"/>
        </w:rPr>
      </w:pPr>
    </w:p>
    <w:p w14:paraId="7AB59F09" w14:textId="77777777" w:rsidR="00CA2A42" w:rsidRDefault="00CA2A42" w:rsidP="00CA2A42">
      <w:r w:rsidRPr="00296E90">
        <w:t xml:space="preserve">95 % konfidensintervall for årlige estimater er beregnet ved å trekke tilfeldig med </w:t>
      </w:r>
      <w:proofErr w:type="spellStart"/>
      <w:r w:rsidRPr="00296E90">
        <w:t>tilbakelegging</w:t>
      </w:r>
      <w:proofErr w:type="spellEnd"/>
      <w:r w:rsidRPr="00296E90">
        <w:t xml:space="preserve"> 100 000 ganger fra datasettet med antall sykehusopphold (journaler) med minst én pasientskade for et gitt år (24 observasjoner per år). </w:t>
      </w:r>
      <w:proofErr w:type="spellStart"/>
      <w:r w:rsidRPr="00296E90">
        <w:t>Tilbakelegging</w:t>
      </w:r>
      <w:proofErr w:type="spellEnd"/>
      <w:r w:rsidRPr="00296E90">
        <w:t xml:space="preserve"> innebærer at én observasjon kan trekkes flere ganger. Andel sykehusopphold med minst én pasientskade for trukket datasett beregnes. Dette gir 100 000 verdier for den årlige andelen og 95 % konfidensintervall er gitt ved 2,5 og 97,5 </w:t>
      </w:r>
      <w:proofErr w:type="spellStart"/>
      <w:r w:rsidRPr="00296E90">
        <w:t>percentiler</w:t>
      </w:r>
      <w:proofErr w:type="spellEnd"/>
      <w:r w:rsidRPr="00296E90">
        <w:t xml:space="preserve"> fra disse.</w:t>
      </w:r>
      <w:r>
        <w:t xml:space="preserve"> </w:t>
      </w:r>
    </w:p>
    <w:p w14:paraId="24A32098" w14:textId="77777777" w:rsidR="00CA2A42" w:rsidRPr="00CA2A42" w:rsidRDefault="00CA2A42" w:rsidP="00CA2A42"/>
    <w:p w14:paraId="212638AB" w14:textId="77777777" w:rsidR="00CA2A42" w:rsidRDefault="00CA2A42" w:rsidP="00CA2A42">
      <w:pPr>
        <w:pStyle w:val="Overskrift2"/>
      </w:pPr>
      <w:r>
        <w:t>Kontrollgrafer</w:t>
      </w:r>
    </w:p>
    <w:p w14:paraId="5258BC9B" w14:textId="77777777" w:rsidR="00CA2A42" w:rsidRPr="0099109A" w:rsidRDefault="00CA2A42" w:rsidP="00CA2A42">
      <w:r w:rsidRPr="0099109A">
        <w:t>De røde og blå linjene er usikkerhetsintervaller for referanseverdiene, og utgjør kontrollgrenser for de glattede dataene. Kontrollgrensene for en prosentandel beregnes på følgende måte</w:t>
      </w:r>
      <w:r w:rsidRPr="0099109A">
        <w:rPr>
          <w:vertAlign w:val="superscript"/>
          <w:lang w:val="en-US"/>
        </w:rPr>
        <w:footnoteReference w:id="1"/>
      </w:r>
      <w:r w:rsidRPr="0099109A">
        <w:t>:</w:t>
      </w:r>
    </w:p>
    <w:p w14:paraId="314860E6" w14:textId="4A6560C2" w:rsidR="00CA2A42" w:rsidRPr="0099109A" w:rsidRDefault="00CB3F90" w:rsidP="00CA2A42">
      <m:oMathPara>
        <m:oMath>
          <m:acc>
            <m:accPr>
              <m:chr m:val="̅"/>
              <m:ctrlPr>
                <w:rPr>
                  <w:rFonts w:ascii="Cambria Math" w:hAnsi="Cambria Math"/>
                  <w:i/>
                </w:rPr>
              </m:ctrlPr>
            </m:accPr>
            <m:e>
              <m:r>
                <w:rPr>
                  <w:rFonts w:ascii="Cambria Math" w:hAnsi="Cambria Math"/>
                </w:rPr>
                <m:t>p</m:t>
              </m:r>
            </m:e>
          </m:acc>
          <m:r>
            <w:rPr>
              <w:rFonts w:ascii="Cambria Math" w:hAnsi="Cambria Math"/>
            </w:rPr>
            <m:t>±z</m:t>
          </m:r>
          <m:rad>
            <m:radPr>
              <m:degHide m:val="1"/>
              <m:ctrlPr>
                <w:rPr>
                  <w:rFonts w:ascii="Cambria Math" w:hAnsi="Cambria Math"/>
                  <w:i/>
                </w:rPr>
              </m:ctrlPr>
            </m:radPr>
            <m:deg/>
            <m:e>
              <m:f>
                <m:fPr>
                  <m:ctrlPr>
                    <w:rPr>
                      <w:rFonts w:ascii="Cambria Math" w:hAnsi="Cambria Math"/>
                      <w:i/>
                    </w:rPr>
                  </m:ctrlPr>
                </m:fPr>
                <m:num>
                  <m:acc>
                    <m:accPr>
                      <m:chr m:val="̅"/>
                      <m:ctrlPr>
                        <w:rPr>
                          <w:rFonts w:ascii="Cambria Math" w:hAnsi="Cambria Math"/>
                          <w:i/>
                        </w:rPr>
                      </m:ctrlPr>
                    </m:accPr>
                    <m:e>
                      <m:r>
                        <w:rPr>
                          <w:rFonts w:ascii="Cambria Math" w:hAnsi="Cambria Math"/>
                        </w:rPr>
                        <m:t>p</m:t>
                      </m:r>
                    </m:e>
                  </m:acc>
                  <m:r>
                    <w:rPr>
                      <w:rFonts w:ascii="Cambria Math" w:hAnsi="Cambria Math"/>
                    </w:rPr>
                    <m:t>(1-</m:t>
                  </m:r>
                  <m:acc>
                    <m:accPr>
                      <m:chr m:val="̅"/>
                      <m:ctrlPr>
                        <w:rPr>
                          <w:rFonts w:ascii="Cambria Math" w:hAnsi="Cambria Math"/>
                          <w:i/>
                        </w:rPr>
                      </m:ctrlPr>
                    </m:accPr>
                    <m:e>
                      <m:r>
                        <w:rPr>
                          <w:rFonts w:ascii="Cambria Math" w:hAnsi="Cambria Math"/>
                        </w:rPr>
                        <m:t>p</m:t>
                      </m:r>
                    </m:e>
                  </m:acc>
                  <m:r>
                    <w:rPr>
                      <w:rFonts w:ascii="Cambria Math" w:hAnsi="Cambria Math"/>
                    </w:rPr>
                    <m:t>)</m:t>
                  </m:r>
                </m:num>
                <m:den>
                  <m:r>
                    <w:rPr>
                      <w:rFonts w:ascii="Cambria Math" w:hAnsi="Cambria Math"/>
                    </w:rPr>
                    <m:t>n</m:t>
                  </m:r>
                </m:den>
              </m:f>
            </m:e>
          </m:rad>
        </m:oMath>
      </m:oMathPara>
    </w:p>
    <w:p w14:paraId="40BA222F" w14:textId="7E443E8C" w:rsidR="00CA2A42" w:rsidRDefault="00CA2A42" w:rsidP="00CA2A42">
      <w:r w:rsidRPr="0099109A">
        <w:t xml:space="preserve">Gjennomsnittsverdien for året før, </w:t>
      </w:r>
      <m:oMath>
        <m:acc>
          <m:accPr>
            <m:chr m:val="̅"/>
            <m:ctrlPr>
              <w:rPr>
                <w:rFonts w:ascii="Cambria Math" w:hAnsi="Cambria Math"/>
                <w:i/>
                <w:lang w:val="en-US"/>
              </w:rPr>
            </m:ctrlPr>
          </m:accPr>
          <m:e>
            <m:r>
              <w:rPr>
                <w:rFonts w:ascii="Cambria Math" w:hAnsi="Cambria Math"/>
                <w:lang w:val="en-US"/>
              </w:rPr>
              <m:t>p</m:t>
            </m:r>
          </m:e>
        </m:acc>
      </m:oMath>
      <w:r w:rsidRPr="0099109A">
        <w:t xml:space="preserve">, beregnes basert på alle journalene som var undersøkt det året. For de fleste team undersøker man 240 journaler per år (10 journaler i 24 perioder). Siden kontrollgrensene gjelder for glattede data er n=100 (antall observasjoner det glidende gjennomsnittet er basert på) </w:t>
      </w:r>
      <w:r w:rsidRPr="0099109A">
        <w:rPr>
          <w:vertAlign w:val="superscript"/>
          <w:lang w:val="en-US"/>
        </w:rPr>
        <w:footnoteReference w:id="2"/>
      </w:r>
      <w:r w:rsidRPr="0099109A">
        <w:t xml:space="preserve">. (Standardavviket til gjennomsnittet for data fra en binomisk fordeling med sannsynlighet </w:t>
      </w:r>
      <m:oMath>
        <m:acc>
          <m:accPr>
            <m:chr m:val="̅"/>
            <m:ctrlPr>
              <w:rPr>
                <w:rFonts w:ascii="Cambria Math" w:hAnsi="Cambria Math"/>
                <w:i/>
                <w:lang w:val="en-US"/>
              </w:rPr>
            </m:ctrlPr>
          </m:accPr>
          <m:e>
            <m:r>
              <w:rPr>
                <w:rFonts w:ascii="Cambria Math" w:hAnsi="Cambria Math"/>
                <w:lang w:val="en-US"/>
              </w:rPr>
              <m:t>p</m:t>
            </m:r>
            <m:r>
              <w:rPr>
                <w:rFonts w:ascii="Cambria Math" w:hAnsi="Cambria Math"/>
              </w:rPr>
              <m:t xml:space="preserve"> </m:t>
            </m:r>
          </m:e>
        </m:acc>
        <m:r>
          <w:rPr>
            <w:rFonts w:ascii="Cambria Math" w:hAnsi="Cambria Math"/>
          </w:rPr>
          <m:t xml:space="preserve"> </m:t>
        </m:r>
      </m:oMath>
      <w:r w:rsidRPr="0099109A">
        <w:t xml:space="preserve">er </w:t>
      </w:r>
      <m:oMath>
        <m:rad>
          <m:radPr>
            <m:degHide m:val="1"/>
            <m:ctrlPr>
              <w:rPr>
                <w:rFonts w:ascii="Cambria Math" w:hAnsi="Cambria Math"/>
                <w:i/>
                <w:lang w:val="en-US"/>
              </w:rPr>
            </m:ctrlPr>
          </m:radPr>
          <m:deg/>
          <m:e>
            <m:f>
              <m:fPr>
                <m:ctrlPr>
                  <w:rPr>
                    <w:rFonts w:ascii="Cambria Math" w:hAnsi="Cambria Math"/>
                    <w:i/>
                    <w:lang w:val="en-US"/>
                  </w:rPr>
                </m:ctrlPr>
              </m:fPr>
              <m:num>
                <m:acc>
                  <m:accPr>
                    <m:chr m:val="̅"/>
                    <m:ctrlPr>
                      <w:rPr>
                        <w:rFonts w:ascii="Cambria Math" w:hAnsi="Cambria Math"/>
                        <w:i/>
                        <w:lang w:val="en-US"/>
                      </w:rPr>
                    </m:ctrlPr>
                  </m:accPr>
                  <m:e>
                    <m:r>
                      <w:rPr>
                        <w:rFonts w:ascii="Cambria Math" w:hAnsi="Cambria Math"/>
                        <w:lang w:val="en-US"/>
                      </w:rPr>
                      <m:t>p</m:t>
                    </m:r>
                  </m:e>
                </m:acc>
                <m:r>
                  <w:rPr>
                    <w:rFonts w:ascii="Cambria Math" w:hAnsi="Cambria Math"/>
                  </w:rPr>
                  <m:t>(1-</m:t>
                </m:r>
                <m:acc>
                  <m:accPr>
                    <m:chr m:val="̅"/>
                    <m:ctrlPr>
                      <w:rPr>
                        <w:rFonts w:ascii="Cambria Math" w:hAnsi="Cambria Math"/>
                        <w:i/>
                        <w:lang w:val="en-US"/>
                      </w:rPr>
                    </m:ctrlPr>
                  </m:accPr>
                  <m:e>
                    <m:r>
                      <w:rPr>
                        <w:rFonts w:ascii="Cambria Math" w:hAnsi="Cambria Math"/>
                        <w:lang w:val="en-US"/>
                      </w:rPr>
                      <m:t>p</m:t>
                    </m:r>
                  </m:e>
                </m:acc>
                <m:r>
                  <w:rPr>
                    <w:rFonts w:ascii="Cambria Math" w:hAnsi="Cambria Math"/>
                  </w:rPr>
                  <m:t>)</m:t>
                </m:r>
              </m:num>
              <m:den>
                <m:r>
                  <w:rPr>
                    <w:rFonts w:ascii="Cambria Math" w:hAnsi="Cambria Math"/>
                    <w:lang w:val="en-US"/>
                  </w:rPr>
                  <m:t>n</m:t>
                </m:r>
              </m:den>
            </m:f>
          </m:e>
        </m:rad>
      </m:oMath>
      <w:r w:rsidRPr="0099109A">
        <w:t xml:space="preserve">). </w:t>
      </w:r>
      <w:r w:rsidR="00DB22FD">
        <w:t xml:space="preserve">Størrelsen </w:t>
      </w:r>
      <m:oMath>
        <m:r>
          <w:rPr>
            <w:rFonts w:ascii="Cambria Math" w:hAnsi="Cambria Math"/>
          </w:rPr>
          <m:t>z</m:t>
        </m:r>
      </m:oMath>
      <w:r w:rsidR="00DB22FD">
        <w:t xml:space="preserve"> settes som oftes</w:t>
      </w:r>
      <w:r w:rsidR="00157FBB">
        <w:t>t</w:t>
      </w:r>
      <w:r w:rsidR="00DB22FD">
        <w:t xml:space="preserve"> til 3 i beregning av kontrollgrenser.</w:t>
      </w:r>
      <w:r w:rsidR="00DD0A68">
        <w:t xml:space="preserve"> Vi har i tillegg</w:t>
      </w:r>
      <w:r w:rsidR="00DB22FD">
        <w:t xml:space="preserve"> valgt å vise kontrollgrensene basert på  </w:t>
      </w:r>
      <m:oMath>
        <m:r>
          <w:rPr>
            <w:rFonts w:ascii="Cambria Math" w:hAnsi="Cambria Math"/>
          </w:rPr>
          <m:t>z</m:t>
        </m:r>
      </m:oMath>
      <w:r w:rsidR="00DB22FD">
        <w:t xml:space="preserve">=2 i figurene. </w:t>
      </w:r>
      <w:r w:rsidRPr="0099109A">
        <w:t>Kontrollgrensene er begrenset til å være mellom 0 og 100</w:t>
      </w:r>
      <w:r w:rsidRPr="0099109A">
        <w:rPr>
          <w:vertAlign w:val="superscript"/>
        </w:rPr>
        <w:footnoteReference w:id="3"/>
      </w:r>
      <w:r w:rsidRPr="0099109A">
        <w:t xml:space="preserve">. De to røde linjene og de to blå linjene markerer </w:t>
      </w:r>
      <w:r w:rsidR="00DB22FD">
        <w:t xml:space="preserve">altså </w:t>
      </w:r>
      <w:r w:rsidRPr="0099109A">
        <w:t>henholdsvis 2 og 3 standardavvik over og under referanseverdien. For team som trekker flere enn 10 journaler per periode vil de glattede dataene være basert på flere observasjoner (f.eks. 200, om man trekker 20 journaler per periode). Dersom man øker antall journaler som undersøkes i hver periode i løpet av tidsperioden som plottes, vil kontrollgrensene i en overgangsperiode ikke være horisontale, men gradvis danne et smalere «bånd». Dette skyldes at det glidende snittet gradvis er basert på flere datapunkter. Etter 10 perioder vil grensene igjen være horisontale.</w:t>
      </w:r>
    </w:p>
    <w:p w14:paraId="3FBE3B9E" w14:textId="77777777" w:rsidR="00CA2A42" w:rsidRDefault="00CA2A42" w:rsidP="00CA2A42"/>
    <w:p w14:paraId="0001EE60" w14:textId="77777777" w:rsidR="00EF14EA" w:rsidRDefault="00CB3F90"/>
    <w:sectPr w:rsidR="00EF14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EC71D" w14:textId="77777777" w:rsidR="00CA2A42" w:rsidRDefault="00CA2A42" w:rsidP="00CA2A42">
      <w:pPr>
        <w:spacing w:line="240" w:lineRule="auto"/>
      </w:pPr>
      <w:r>
        <w:separator/>
      </w:r>
    </w:p>
  </w:endnote>
  <w:endnote w:type="continuationSeparator" w:id="0">
    <w:p w14:paraId="0E519788" w14:textId="77777777" w:rsidR="00CA2A42" w:rsidRDefault="00CA2A42" w:rsidP="00CA2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8CC13" w14:textId="77777777" w:rsidR="00CA2A42" w:rsidRDefault="00CA2A42" w:rsidP="00CA2A42">
      <w:pPr>
        <w:spacing w:line="240" w:lineRule="auto"/>
      </w:pPr>
      <w:r>
        <w:separator/>
      </w:r>
    </w:p>
  </w:footnote>
  <w:footnote w:type="continuationSeparator" w:id="0">
    <w:p w14:paraId="5963E9BF" w14:textId="77777777" w:rsidR="00CA2A42" w:rsidRDefault="00CA2A42" w:rsidP="00CA2A42">
      <w:pPr>
        <w:spacing w:line="240" w:lineRule="auto"/>
      </w:pPr>
      <w:r>
        <w:continuationSeparator/>
      </w:r>
    </w:p>
  </w:footnote>
  <w:footnote w:id="1">
    <w:p w14:paraId="66F99458" w14:textId="6F21B934" w:rsidR="00CA2A42" w:rsidRPr="00DF3988" w:rsidRDefault="00CA2A42" w:rsidP="00CA2A42">
      <w:pPr>
        <w:pStyle w:val="Fotnotetekst"/>
        <w:rPr>
          <w:lang w:val="en-US"/>
        </w:rPr>
      </w:pPr>
      <w:r w:rsidRPr="00DF3988">
        <w:rPr>
          <w:rStyle w:val="Fotnotereferanse"/>
        </w:rPr>
        <w:footnoteRef/>
      </w:r>
      <w:r w:rsidRPr="00DF3988">
        <w:rPr>
          <w:lang w:val="en-US"/>
        </w:rPr>
        <w:t xml:space="preserve"> Mohamm</w:t>
      </w:r>
      <w:r w:rsidR="00843229" w:rsidRPr="00DF3988">
        <w:rPr>
          <w:lang w:val="en-US"/>
        </w:rPr>
        <w:t>e</w:t>
      </w:r>
      <w:r w:rsidRPr="00DF3988">
        <w:rPr>
          <w:lang w:val="en-US"/>
        </w:rPr>
        <w:t xml:space="preserve">d MA, Worthington P, Woodall WH. Plotting basic control charts: tutorial notes for healthcare practitioners. </w:t>
      </w:r>
      <w:r w:rsidRPr="00DF3988">
        <w:rPr>
          <w:i/>
          <w:lang w:val="en-US"/>
        </w:rPr>
        <w:t xml:space="preserve">Qual </w:t>
      </w:r>
      <w:proofErr w:type="spellStart"/>
      <w:r w:rsidRPr="00DF3988">
        <w:rPr>
          <w:i/>
          <w:lang w:val="en-US"/>
        </w:rPr>
        <w:t>Saf</w:t>
      </w:r>
      <w:proofErr w:type="spellEnd"/>
      <w:r w:rsidRPr="00DF3988">
        <w:rPr>
          <w:i/>
          <w:lang w:val="en-US"/>
        </w:rPr>
        <w:t xml:space="preserve"> Health Care</w:t>
      </w:r>
      <w:r w:rsidRPr="00DF3988">
        <w:rPr>
          <w:lang w:val="en-US"/>
        </w:rPr>
        <w:t xml:space="preserve"> </w:t>
      </w:r>
      <w:proofErr w:type="gramStart"/>
      <w:r w:rsidRPr="00DF3988">
        <w:rPr>
          <w:lang w:val="en-US"/>
        </w:rPr>
        <w:t>2008;17:137</w:t>
      </w:r>
      <w:proofErr w:type="gramEnd"/>
      <w:r w:rsidRPr="00DF3988">
        <w:rPr>
          <w:lang w:val="en-US"/>
        </w:rPr>
        <w:t>-145</w:t>
      </w:r>
      <w:r w:rsidR="00DF3988">
        <w:rPr>
          <w:lang w:val="en-US"/>
        </w:rPr>
        <w:t>.</w:t>
      </w:r>
    </w:p>
  </w:footnote>
  <w:footnote w:id="2">
    <w:p w14:paraId="0FBCE56A" w14:textId="77777777" w:rsidR="00CA2A42" w:rsidRPr="00F40E22" w:rsidRDefault="00CA2A42" w:rsidP="00CA2A42">
      <w:pPr>
        <w:pStyle w:val="Fotnotetekst"/>
      </w:pPr>
      <w:r>
        <w:rPr>
          <w:rStyle w:val="Fotnotereferanse"/>
        </w:rPr>
        <w:footnoteRef/>
      </w:r>
      <w:r w:rsidRPr="00F40E22">
        <w:t xml:space="preserve"> Vi antar her at gjennomsnittverdien, </w:t>
      </w:r>
      <m:oMath>
        <m:acc>
          <m:accPr>
            <m:chr m:val="̅"/>
            <m:ctrlPr>
              <w:rPr>
                <w:rFonts w:ascii="Cambria Math" w:eastAsiaTheme="minorEastAsia" w:hAnsi="Cambria Math" w:cs="Arial"/>
                <w:i/>
              </w:rPr>
            </m:ctrlPr>
          </m:accPr>
          <m:e>
            <m:r>
              <w:rPr>
                <w:rFonts w:ascii="Cambria Math" w:eastAsiaTheme="minorEastAsia" w:hAnsi="Cambria Math" w:cs="Arial"/>
              </w:rPr>
              <m:t>p</m:t>
            </m:r>
          </m:e>
        </m:acc>
      </m:oMath>
      <w:r w:rsidRPr="00F40E22">
        <w:rPr>
          <w:rFonts w:eastAsiaTheme="minorEastAsia"/>
        </w:rPr>
        <w:t>, g</w:t>
      </w:r>
      <w:r>
        <w:rPr>
          <w:rFonts w:eastAsiaTheme="minorEastAsia"/>
        </w:rPr>
        <w:t>jelder for alle perioder i inneværende</w:t>
      </w:r>
      <w:r w:rsidRPr="00F40E22">
        <w:rPr>
          <w:rFonts w:eastAsiaTheme="minorEastAsia"/>
        </w:rPr>
        <w:t xml:space="preserve"> år, selv om de glattede dataene er basert på data fra to ulike år i starten av hvert år. </w:t>
      </w:r>
    </w:p>
  </w:footnote>
  <w:footnote w:id="3">
    <w:p w14:paraId="5CB9DE23" w14:textId="77777777" w:rsidR="00CA2A42" w:rsidRPr="00FE27EC" w:rsidRDefault="00CA2A42" w:rsidP="00CA2A42">
      <w:pPr>
        <w:pStyle w:val="Fotnotetekst"/>
      </w:pPr>
      <w:r>
        <w:rPr>
          <w:rStyle w:val="Fotnotereferanse"/>
        </w:rPr>
        <w:footnoteRef/>
      </w:r>
      <w:r w:rsidRPr="00FE27EC">
        <w:t xml:space="preserve"> Dersom formelen over gir et negativt tall settes grensen til 0. </w:t>
      </w:r>
      <w:r>
        <w:t>Dersom formelen over gir et tall større enn 100 settes grensen til 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42"/>
    <w:rsid w:val="00157FBB"/>
    <w:rsid w:val="001F298B"/>
    <w:rsid w:val="00307956"/>
    <w:rsid w:val="005E76E2"/>
    <w:rsid w:val="00843229"/>
    <w:rsid w:val="008E0533"/>
    <w:rsid w:val="00B579D8"/>
    <w:rsid w:val="00C47326"/>
    <w:rsid w:val="00C77A6A"/>
    <w:rsid w:val="00C92C76"/>
    <w:rsid w:val="00CA2A42"/>
    <w:rsid w:val="00CB3F90"/>
    <w:rsid w:val="00D12F5E"/>
    <w:rsid w:val="00DB22FD"/>
    <w:rsid w:val="00DD0A68"/>
    <w:rsid w:val="00DF3988"/>
    <w:rsid w:val="00E679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5977"/>
  <w15:chartTrackingRefBased/>
  <w15:docId w15:val="{28399663-6D48-468D-AEB9-BE6229C0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42"/>
    <w:pPr>
      <w:spacing w:after="0" w:line="276" w:lineRule="auto"/>
    </w:pPr>
    <w:rPr>
      <w:sz w:val="21"/>
    </w:rPr>
  </w:style>
  <w:style w:type="paragraph" w:styleId="Overskrift1">
    <w:name w:val="heading 1"/>
    <w:basedOn w:val="Normal"/>
    <w:next w:val="Normal"/>
    <w:link w:val="Overskrift1Tegn"/>
    <w:uiPriority w:val="9"/>
    <w:qFormat/>
    <w:rsid w:val="00CA2A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A2A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A2A42"/>
    <w:rPr>
      <w:rFonts w:asciiTheme="majorHAnsi" w:eastAsiaTheme="majorEastAsia" w:hAnsiTheme="majorHAnsi" w:cstheme="majorBidi"/>
      <w:color w:val="2F5496" w:themeColor="accent1" w:themeShade="BF"/>
      <w:sz w:val="26"/>
      <w:szCs w:val="26"/>
    </w:rPr>
  </w:style>
  <w:style w:type="paragraph" w:styleId="Fotnotetekst">
    <w:name w:val="footnote text"/>
    <w:basedOn w:val="Normal"/>
    <w:link w:val="FotnotetekstTegn"/>
    <w:uiPriority w:val="99"/>
    <w:semiHidden/>
    <w:unhideWhenUsed/>
    <w:rsid w:val="00CA2A42"/>
    <w:pPr>
      <w:spacing w:line="240" w:lineRule="auto"/>
    </w:pPr>
    <w:rPr>
      <w:sz w:val="20"/>
      <w:szCs w:val="20"/>
    </w:rPr>
  </w:style>
  <w:style w:type="character" w:customStyle="1" w:styleId="FotnotetekstTegn">
    <w:name w:val="Fotnotetekst Tegn"/>
    <w:basedOn w:val="Standardskriftforavsnitt"/>
    <w:link w:val="Fotnotetekst"/>
    <w:uiPriority w:val="99"/>
    <w:semiHidden/>
    <w:rsid w:val="00CA2A42"/>
    <w:rPr>
      <w:sz w:val="20"/>
      <w:szCs w:val="20"/>
    </w:rPr>
  </w:style>
  <w:style w:type="character" w:styleId="Fotnotereferanse">
    <w:name w:val="footnote reference"/>
    <w:basedOn w:val="Standardskriftforavsnitt"/>
    <w:uiPriority w:val="99"/>
    <w:semiHidden/>
    <w:unhideWhenUsed/>
    <w:rsid w:val="00CA2A42"/>
    <w:rPr>
      <w:vertAlign w:val="superscript"/>
    </w:rPr>
  </w:style>
  <w:style w:type="paragraph" w:customStyle="1" w:styleId="Default">
    <w:name w:val="Default"/>
    <w:rsid w:val="00CA2A42"/>
    <w:pPr>
      <w:autoSpaceDE w:val="0"/>
      <w:autoSpaceDN w:val="0"/>
      <w:adjustRightInd w:val="0"/>
      <w:spacing w:after="0" w:line="240" w:lineRule="auto"/>
    </w:pPr>
    <w:rPr>
      <w:rFonts w:ascii="Roboto" w:hAnsi="Roboto" w:cs="Roboto"/>
      <w:color w:val="000000"/>
      <w:sz w:val="24"/>
      <w:szCs w:val="24"/>
    </w:rPr>
  </w:style>
  <w:style w:type="character" w:customStyle="1" w:styleId="Overskrift1Tegn">
    <w:name w:val="Overskrift 1 Tegn"/>
    <w:basedOn w:val="Standardskriftforavsnitt"/>
    <w:link w:val="Overskrift1"/>
    <w:uiPriority w:val="9"/>
    <w:rsid w:val="00CA2A42"/>
    <w:rPr>
      <w:rFonts w:asciiTheme="majorHAnsi" w:eastAsiaTheme="majorEastAsia" w:hAnsiTheme="majorHAnsi" w:cstheme="majorBidi"/>
      <w:color w:val="2F5496" w:themeColor="accent1" w:themeShade="BF"/>
      <w:sz w:val="32"/>
      <w:szCs w:val="32"/>
    </w:rPr>
  </w:style>
  <w:style w:type="character" w:styleId="Merknadsreferanse">
    <w:name w:val="annotation reference"/>
    <w:basedOn w:val="Standardskriftforavsnitt"/>
    <w:uiPriority w:val="99"/>
    <w:semiHidden/>
    <w:unhideWhenUsed/>
    <w:rsid w:val="00307956"/>
    <w:rPr>
      <w:sz w:val="16"/>
      <w:szCs w:val="16"/>
    </w:rPr>
  </w:style>
  <w:style w:type="paragraph" w:styleId="Merknadstekst">
    <w:name w:val="annotation text"/>
    <w:basedOn w:val="Normal"/>
    <w:link w:val="MerknadstekstTegn"/>
    <w:uiPriority w:val="99"/>
    <w:semiHidden/>
    <w:unhideWhenUsed/>
    <w:rsid w:val="0030795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07956"/>
    <w:rPr>
      <w:sz w:val="20"/>
      <w:szCs w:val="20"/>
    </w:rPr>
  </w:style>
  <w:style w:type="paragraph" w:styleId="Kommentaremne">
    <w:name w:val="annotation subject"/>
    <w:basedOn w:val="Merknadstekst"/>
    <w:next w:val="Merknadstekst"/>
    <w:link w:val="KommentaremneTegn"/>
    <w:uiPriority w:val="99"/>
    <w:semiHidden/>
    <w:unhideWhenUsed/>
    <w:rsid w:val="00307956"/>
    <w:rPr>
      <w:b/>
      <w:bCs/>
    </w:rPr>
  </w:style>
  <w:style w:type="character" w:customStyle="1" w:styleId="KommentaremneTegn">
    <w:name w:val="Kommentaremne Tegn"/>
    <w:basedOn w:val="MerknadstekstTegn"/>
    <w:link w:val="Kommentaremne"/>
    <w:uiPriority w:val="99"/>
    <w:semiHidden/>
    <w:rsid w:val="00307956"/>
    <w:rPr>
      <w:b/>
      <w:bCs/>
      <w:sz w:val="20"/>
      <w:szCs w:val="20"/>
    </w:rPr>
  </w:style>
  <w:style w:type="paragraph" w:styleId="Bobletekst">
    <w:name w:val="Balloon Text"/>
    <w:basedOn w:val="Normal"/>
    <w:link w:val="BobletekstTegn"/>
    <w:uiPriority w:val="99"/>
    <w:semiHidden/>
    <w:unhideWhenUsed/>
    <w:rsid w:val="00307956"/>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07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57E5D054C1B042998A05ECCD7967DC" ma:contentTypeVersion="0" ma:contentTypeDescription="Opprett et nytt dokument." ma:contentTypeScope="" ma:versionID="7f77e16c2eb57dfdc6fe93788bd1ad3e">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E1156-F035-40F4-B78F-01356C34F560}">
  <ds:schemaRefs>
    <ds:schemaRef ds:uri="http://schemas.microsoft.com/sharepoint/v3/contenttype/forms"/>
  </ds:schemaRefs>
</ds:datastoreItem>
</file>

<file path=customXml/itemProps2.xml><?xml version="1.0" encoding="utf-8"?>
<ds:datastoreItem xmlns:ds="http://schemas.openxmlformats.org/officeDocument/2006/customXml" ds:itemID="{514D484E-D91E-4563-8EED-F93D4FBF483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862B7B-3926-4086-BC38-AAF8119B2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2118</Characters>
  <Application>Microsoft Office Word</Application>
  <DocSecurity>4</DocSecurity>
  <Lines>17</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Narbuvold</dc:creator>
  <cp:keywords/>
  <dc:description/>
  <cp:lastModifiedBy>Bård Andrew</cp:lastModifiedBy>
  <cp:revision>2</cp:revision>
  <dcterms:created xsi:type="dcterms:W3CDTF">2020-09-16T14:49:00Z</dcterms:created>
  <dcterms:modified xsi:type="dcterms:W3CDTF">2020-09-16T14:49:00Z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0x0101006957E5D054C1B042998A05ECCD7967DC</vt:lpwstr>
  </property>
</Properties>
</file>